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540" w:firstLine="708"/>
        <w:jc w:val="both"/>
        <w:rPr>
          <w:rFonts w:ascii="Times New Roman" w:hAnsi="Times New Roman" w:cs="Times New Roman"/>
          <w:sz w:val="24"/>
          <w:szCs w:val="24"/>
        </w:rPr>
      </w:pPr>
      <w:r>
        <w:rPr/>
        <w:drawing>
          <wp:anchor behindDoc="0" distT="0" distB="0" distL="0" distR="0" simplePos="0" locked="0" layoutInCell="0" allowOverlap="1" relativeHeight="2">
            <wp:simplePos x="0" y="0"/>
            <wp:positionH relativeFrom="column">
              <wp:posOffset>139065</wp:posOffset>
            </wp:positionH>
            <wp:positionV relativeFrom="paragraph">
              <wp:posOffset>-24130</wp:posOffset>
            </wp:positionV>
            <wp:extent cx="5508625" cy="142938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508625" cy="1429385"/>
                    </a:xfrm>
                    <a:prstGeom prst="rect">
                      <a:avLst/>
                    </a:prstGeom>
                  </pic:spPr>
                </pic:pic>
              </a:graphicData>
            </a:graphic>
          </wp:anchor>
        </w:drawing>
      </w:r>
    </w:p>
    <w:p>
      <w:pPr>
        <w:pStyle w:val="Normal"/>
        <w:ind w:left="3540" w:firstLine="708"/>
        <w:jc w:val="both"/>
        <w:rPr>
          <w:rFonts w:ascii="Times New Roman" w:hAnsi="Times New Roman" w:cs="Times New Roman"/>
          <w:sz w:val="24"/>
          <w:szCs w:val="24"/>
        </w:rPr>
      </w:pPr>
      <w:r>
        <w:rPr>
          <w:rFonts w:cs="Times New Roman" w:ascii="Times New Roman" w:hAnsi="Times New Roman"/>
          <w:sz w:val="24"/>
          <w:szCs w:val="24"/>
        </w:rPr>
        <w:t>miejscowość ..…………… data ……………..</w:t>
        <w:tab/>
        <w:tab/>
        <w:tab/>
        <w:tab/>
        <w:tab/>
        <w:tab/>
        <w:t xml:space="preserve">       </w:t>
      </w:r>
    </w:p>
    <w:p>
      <w:pPr>
        <w:pStyle w:val="Normal"/>
        <w:tabs>
          <w:tab w:val="clear" w:pos="708"/>
          <w:tab w:val="left" w:pos="7125" w:leader="none"/>
        </w:tabs>
        <w:jc w:val="both"/>
        <w:rPr>
          <w:rFonts w:ascii="Times New Roman" w:hAnsi="Times New Roman" w:cs="Times New Roman"/>
          <w:sz w:val="24"/>
          <w:szCs w:val="24"/>
        </w:rPr>
      </w:pPr>
      <w:r>
        <w:rPr>
          <w:rFonts w:cs="Times New Roman" w:ascii="Times New Roman" w:hAnsi="Times New Roman"/>
          <w:sz w:val="24"/>
          <w:szCs w:val="24"/>
        </w:rPr>
        <w:t>......................................................................</w:t>
        <w:tab/>
      </w:r>
    </w:p>
    <w:p>
      <w:pPr>
        <w:pStyle w:val="Normal"/>
        <w:jc w:val="both"/>
        <w:rPr>
          <w:rFonts w:ascii="Times New Roman" w:hAnsi="Times New Roman" w:cs="Times New Roman"/>
          <w:sz w:val="24"/>
          <w:szCs w:val="24"/>
        </w:rPr>
      </w:pP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Wnioskodawca: imię, nazwisko i adres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lub nazwa, siedziba i adres)</w:t>
      </w:r>
    </w:p>
    <w:p>
      <w:pPr>
        <w:pStyle w:val="Normal"/>
        <w:ind w:firstLine="3686"/>
        <w:jc w:val="both"/>
        <w:rPr>
          <w:rFonts w:ascii="Times New Roman" w:hAnsi="Times New Roman" w:cs="Times New Roman"/>
          <w:b/>
          <w:b/>
          <w:sz w:val="24"/>
          <w:szCs w:val="24"/>
        </w:rPr>
      </w:pPr>
      <w:r>
        <w:rPr>
          <w:rFonts w:cs="Times New Roman" w:ascii="Times New Roman" w:hAnsi="Times New Roman"/>
          <w:b/>
          <w:sz w:val="24"/>
          <w:szCs w:val="24"/>
        </w:rPr>
      </w:r>
    </w:p>
    <w:p>
      <w:pPr>
        <w:pStyle w:val="Nagwek1"/>
        <w:tabs>
          <w:tab w:val="clear" w:pos="708"/>
          <w:tab w:val="left" w:pos="4536" w:leader="none"/>
        </w:tabs>
        <w:spacing w:lineRule="auto" w:line="276"/>
        <w:jc w:val="left"/>
        <w:rPr>
          <w:sz w:val="24"/>
          <w:szCs w:val="24"/>
        </w:rPr>
      </w:pPr>
      <w:r>
        <w:rPr>
          <w:sz w:val="24"/>
          <w:szCs w:val="24"/>
        </w:rPr>
        <w:tab/>
        <w:tab/>
        <w:t>Wojewódzki Urząd Ochrony Zabytków</w:t>
      </w:r>
    </w:p>
    <w:p>
      <w:pPr>
        <w:pStyle w:val="Nagwek1"/>
        <w:tabs>
          <w:tab w:val="clear" w:pos="708"/>
          <w:tab w:val="left" w:pos="4536" w:leader="none"/>
        </w:tabs>
        <w:spacing w:lineRule="auto" w:line="276"/>
        <w:jc w:val="left"/>
        <w:rPr>
          <w:sz w:val="24"/>
          <w:szCs w:val="24"/>
        </w:rPr>
      </w:pPr>
      <w:r>
        <w:rPr>
          <w:sz w:val="24"/>
          <w:szCs w:val="24"/>
        </w:rPr>
        <w:tab/>
        <w:tab/>
        <w:t>z/s w Przemyślu</w:t>
      </w:r>
    </w:p>
    <w:p>
      <w:pPr>
        <w:pStyle w:val="Normal"/>
        <w:ind w:left="4248" w:firstLine="708"/>
        <w:rPr>
          <w:rFonts w:ascii="Times New Roman" w:hAnsi="Times New Roman" w:cs="Times New Roman"/>
          <w:b/>
          <w:b/>
          <w:sz w:val="24"/>
          <w:szCs w:val="20"/>
        </w:rPr>
      </w:pPr>
      <w:r>
        <w:rPr>
          <w:rFonts w:cs="Times New Roman" w:ascii="Times New Roman" w:hAnsi="Times New Roman"/>
          <w:b/>
        </w:rPr>
        <w:t>Delegatura w…………………….</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WNIOSEK</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o wydanie pozwolenia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na prowadzenie badań archeologicznych/nadzorów archeologicznych </w:t>
      </w:r>
      <w:bookmarkStart w:id="0" w:name="_GoBack"/>
      <w:bookmarkEnd w:id="0"/>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jc w:val="both"/>
        <w:rPr>
          <w:color w:val="000000"/>
        </w:rPr>
      </w:pPr>
      <w:r>
        <w:rPr>
          <w:rFonts w:cs="Times New Roman" w:ascii="Times New Roman" w:hAnsi="Times New Roman"/>
          <w:color w:val="000000"/>
        </w:rPr>
        <w:t xml:space="preserve">Wnoszę o wydanie pozwolenia na poszukiwanie zabytków na podstawie art. 36 ust. 1 pkt 5 ustawy            z dnia 23 lipca 2003 r. o ochronie zabytków i opiece nad zabytkami </w:t>
      </w:r>
      <w:r>
        <w:rPr>
          <w:rFonts w:cs="Times New Roman" w:ascii="Times New Roman" w:hAnsi="Times New Roman"/>
          <w:color w:val="000000"/>
          <w:sz w:val="24"/>
          <w:szCs w:val="24"/>
        </w:rPr>
        <w:t xml:space="preserve">/tj. Dz.U. z 2017 r. poz.2187 ze zm./ oraz § 9 </w:t>
      </w:r>
      <w:r>
        <w:rPr>
          <w:rFonts w:cs="Times New Roman" w:ascii="Times New Roman" w:hAnsi="Times New Roman"/>
          <w:color w:val="000000"/>
        </w:rPr>
        <w:t xml:space="preserve">rozporządzenia Ministra Kultury i Dziedzictwa Narodowego z dnia  </w:t>
      </w:r>
      <w:r>
        <w:rPr>
          <w:rFonts w:eastAsia="Times New Roman" w:cs="Times New Roman" w:ascii="Times New Roman" w:hAnsi="Times New Roman"/>
          <w:color w:val="000000"/>
          <w:lang w:eastAsia="pl-PL"/>
        </w:rPr>
        <w:t>2 sierpnia 2018 r.</w:t>
      </w:r>
    </w:p>
    <w:p>
      <w:pPr>
        <w:pStyle w:val="Normal"/>
        <w:shd w:val="clear" w:color="auto" w:fill="FFFFFF"/>
        <w:spacing w:lineRule="auto" w:line="240" w:before="0" w:after="0"/>
        <w:jc w:val="both"/>
        <w:rPr>
          <w:color w:val="000000"/>
        </w:rPr>
      </w:pPr>
      <w:r>
        <w:rPr>
          <w:rFonts w:eastAsia="Times New Roman" w:cs="Times New Roman" w:ascii="Times New Roman" w:hAnsi="Times New Roman"/>
          <w:bCs/>
          <w:color w:val="000000"/>
          <w:lang w:eastAsia="pl-PL"/>
        </w:rP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w:t>
      </w:r>
    </w:p>
    <w:p>
      <w:pPr>
        <w:pStyle w:val="Normal"/>
        <w:spacing w:lineRule="auto" w:line="276"/>
        <w:jc w:val="both"/>
        <w:rPr>
          <w:color w:val="000000"/>
        </w:rPr>
      </w:pPr>
      <w:r>
        <w:rPr>
          <w:rFonts w:cs="Times New Roman" w:ascii="Times New Roman" w:hAnsi="Times New Roman"/>
          <w:color w:val="000000"/>
        </w:rPr>
        <w:t>/Dz. U. 2018 poz.1609/</w:t>
      </w:r>
    </w:p>
    <w:p>
      <w:pPr>
        <w:pStyle w:val="Normal"/>
        <w:jc w:val="both"/>
        <w:rPr>
          <w:rFonts w:ascii="Times New Roman" w:hAnsi="Times New Roman" w:cs="Times New Roman"/>
          <w:b/>
          <w:b/>
          <w:sz w:val="24"/>
          <w:szCs w:val="24"/>
        </w:rPr>
      </w:pPr>
      <w:r>
        <w:rPr>
          <w:rFonts w:cs="Times New Roman" w:ascii="Times New Roman" w:hAnsi="Times New Roman"/>
          <w:b/>
          <w:sz w:val="24"/>
          <w:szCs w:val="24"/>
        </w:rPr>
        <w:t>Wskazanie miejsca prowadzenia badań/nadzorów i określenie badanego zabytku/ stanowiska archeologicznego:</w:t>
      </w:r>
    </w:p>
    <w:p>
      <w:pPr>
        <w:pStyle w:val="Normal"/>
        <w:jc w:val="both"/>
        <w:rPr>
          <w:rFonts w:ascii="Times New Roman" w:hAnsi="Times New Roman" w:cs="Times New Roman"/>
          <w:b/>
          <w:b/>
          <w:sz w:val="24"/>
          <w:szCs w:val="24"/>
        </w:rPr>
      </w:pPr>
      <w:r>
        <w:rPr>
          <w:rFonts w:cs="Times New Roman" w:ascii="Times New Roman" w:hAnsi="Times New Roman"/>
          <w:b/>
          <w:sz w:val="24"/>
          <w:szCs w:val="24"/>
        </w:rPr>
        <w:t>A)</w:t>
      </w:r>
    </w:p>
    <w:p>
      <w:pPr>
        <w:pStyle w:val="Normal"/>
        <w:jc w:val="both"/>
        <w:rPr>
          <w:rFonts w:ascii="Times New Roman" w:hAnsi="Times New Roman" w:cs="Times New Roman"/>
          <w:sz w:val="24"/>
          <w:szCs w:val="24"/>
        </w:rPr>
      </w:pPr>
      <w:r>
        <w:rPr>
          <w:rFonts w:cs="Times New Roman" w:ascii="Times New Roman" w:hAnsi="Times New Roman"/>
          <w:sz w:val="24"/>
          <w:szCs w:val="24"/>
        </w:rPr>
        <w:t>miejscowość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województwo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powiat . . . . .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gmina. . . . . .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ulica. . . . . . . . . . . . . . . . . . . . . . . . . . . . . . .</w:t>
      </w:r>
    </w:p>
    <w:p>
      <w:pPr>
        <w:pStyle w:val="Normal"/>
        <w:jc w:val="both"/>
        <w:rPr>
          <w:rFonts w:ascii="Times New Roman" w:hAnsi="Times New Roman" w:cs="Times New Roman"/>
          <w:sz w:val="24"/>
          <w:szCs w:val="24"/>
        </w:rPr>
      </w:pPr>
      <w:r>
        <w:rPr/>
      </w:r>
    </w:p>
    <w:p>
      <w:pPr>
        <w:pStyle w:val="Normal"/>
        <w:jc w:val="both"/>
        <w:rPr>
          <w:b/>
          <w:b/>
          <w:bCs/>
        </w:rPr>
      </w:pPr>
      <w:r>
        <w:rPr>
          <w:rFonts w:cs="Times New Roman" w:ascii="Times New Roman" w:hAnsi="Times New Roman"/>
          <w:b/>
          <w:bCs/>
          <w:sz w:val="24"/>
          <w:szCs w:val="24"/>
        </w:rPr>
        <w:t>B)</w:t>
      </w:r>
      <w:r>
        <w:rPr>
          <w:rFonts w:cs="Times New Roman" w:ascii="Times New Roman" w:hAnsi="Times New Roman"/>
          <w:b/>
          <w:bCs/>
          <w:sz w:val="24"/>
          <w:szCs w:val="24"/>
          <w:vertAlign w:val="superscript"/>
        </w:rPr>
        <w:t>1</w:t>
      </w:r>
    </w:p>
    <w:p>
      <w:pPr>
        <w:pStyle w:val="Normal"/>
        <w:jc w:val="both"/>
        <w:rPr>
          <w:rFonts w:ascii="Times New Roman" w:hAnsi="Times New Roman" w:cs="Times New Roman"/>
          <w:sz w:val="24"/>
          <w:szCs w:val="24"/>
        </w:rPr>
      </w:pPr>
      <w:r>
        <w:rPr>
          <w:rFonts w:cs="Times New Roman" w:ascii="Times New Roman" w:hAnsi="Times New Roman"/>
          <w:sz w:val="24"/>
          <w:szCs w:val="24"/>
        </w:rPr>
        <w:t>nadleśnictwo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leśnictwo . . .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kwadrat . . . . . . .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oddział . . . . . . . . . . . . . . . . . . . . . . . . . . . . .</w:t>
      </w:r>
    </w:p>
    <w:p>
      <w:pPr>
        <w:pStyle w:val="Normal"/>
        <w:jc w:val="both"/>
        <w:rPr>
          <w:rFonts w:ascii="Times New Roman" w:hAnsi="Times New Roman" w:cs="Times New Roman"/>
          <w:sz w:val="24"/>
          <w:szCs w:val="24"/>
        </w:rPr>
      </w:pPr>
      <w:r>
        <w:rPr/>
      </w:r>
    </w:p>
    <w:p>
      <w:pPr>
        <w:pStyle w:val="Normal"/>
        <w:jc w:val="both"/>
        <w:rPr>
          <w:b/>
          <w:b/>
          <w:bCs/>
        </w:rPr>
      </w:pPr>
      <w:r>
        <w:rPr>
          <w:rFonts w:cs="Times New Roman" w:ascii="Times New Roman" w:hAnsi="Times New Roman"/>
          <w:b/>
          <w:bCs/>
          <w:sz w:val="24"/>
          <w:szCs w:val="24"/>
        </w:rPr>
        <w:t>C)</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Nr obszaru AZP. . .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Nr stanowiska na obszarze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Nr stanowiska w miejscowości . . . . . . . . . .</w:t>
      </w:r>
    </w:p>
    <w:p>
      <w:pPr>
        <w:pStyle w:val="Normal"/>
        <w:jc w:val="both"/>
        <w:rPr>
          <w:rFonts w:ascii="Times New Roman" w:hAnsi="Times New Roman" w:cs="Times New Roman"/>
          <w:sz w:val="24"/>
          <w:szCs w:val="24"/>
        </w:rPr>
      </w:pPr>
      <w:r>
        <w:rPr>
          <w:rFonts w:cs="Times New Roman" w:ascii="Times New Roman" w:hAnsi="Times New Roman"/>
          <w:sz w:val="24"/>
          <w:szCs w:val="24"/>
        </w:rPr>
        <w:t>Obręb geodezyjny</w:t>
      </w:r>
      <w:r>
        <w:rPr>
          <w:rFonts w:cs="Times New Roman" w:ascii="Times New Roman" w:hAnsi="Times New Roman"/>
          <w:sz w:val="24"/>
          <w:szCs w:val="24"/>
          <w:vertAlign w:val="superscript"/>
        </w:rPr>
        <w:t xml:space="preserve">2 </w:t>
      </w:r>
      <w:r>
        <w:rPr>
          <w:rFonts w:cs="Times New Roman" w:ascii="Times New Roman" w:hAnsi="Times New Roman"/>
          <w:sz w:val="24"/>
          <w:szCs w:val="24"/>
        </w:rPr>
        <w:t xml:space="preserve">. . .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Godło mapy 1:10 000 . . . .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Nr arkusza mapy 1: 10 000 . . . . . . . . . . . . . </w:t>
      </w:r>
    </w:p>
    <w:p>
      <w:pPr>
        <w:pStyle w:val="Normal"/>
        <w:jc w:val="both"/>
        <w:rPr>
          <w:rFonts w:ascii="Times New Roman" w:hAnsi="Times New Roman" w:cs="Times New Roman"/>
          <w:sz w:val="24"/>
          <w:szCs w:val="24"/>
        </w:rPr>
      </w:pPr>
      <w:r>
        <w:rPr>
          <w:rFonts w:cs="Times New Roman" w:ascii="Times New Roman" w:hAnsi="Times New Roman"/>
          <w:sz w:val="24"/>
          <w:szCs w:val="24"/>
        </w:rPr>
        <w:t>Nr działki geodezyjnej . . . . . . . . . . . . . . . . .</w:t>
      </w:r>
    </w:p>
    <w:p>
      <w:pPr>
        <w:pStyle w:val="Normal"/>
        <w:jc w:val="both"/>
        <w:rPr>
          <w:rFonts w:ascii="Times New Roman" w:hAnsi="Times New Roman" w:cs="Times New Roman"/>
          <w:sz w:val="24"/>
          <w:szCs w:val="24"/>
        </w:rPr>
      </w:pPr>
      <w:r>
        <w:rPr/>
      </w:r>
    </w:p>
    <w:tbl>
      <w:tblPr>
        <w:tblW w:w="918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9180"/>
      </w:tblGrid>
      <w:tr>
        <w:trPr>
          <w:trHeight w:val="100" w:hRule="atLeast"/>
        </w:trPr>
        <w:tc>
          <w:tcPr>
            <w:tcW w:w="9180" w:type="dxa"/>
            <w:tcBorders>
              <w:top w:val="single" w:sz="4" w:space="0" w:color="000000"/>
            </w:tcBorders>
          </w:tcPr>
          <w:p>
            <w:pPr>
              <w:pStyle w:val="ListParagraph"/>
              <w:widowControl w:val="false"/>
              <w:numPr>
                <w:ilvl w:val="0"/>
                <w:numId w:val="0"/>
              </w:numPr>
              <w:shd w:val="clear" w:color="auto" w:fill="FFFFFF"/>
              <w:spacing w:lineRule="auto" w:line="240" w:before="0" w:after="0"/>
              <w:ind w:left="720" w:hanging="0"/>
              <w:contextualSpacing/>
              <w:rPr/>
            </w:pPr>
            <w:r>
              <w:rPr>
                <w:rFonts w:eastAsia="Times New Roman" w:cs="Times New Roman" w:ascii="Times New Roman" w:hAnsi="Times New Roman"/>
                <w:color w:val="000000"/>
                <w:lang w:eastAsia="pl-PL"/>
              </w:rPr>
            </w:r>
          </w:p>
          <w:p>
            <w:pPr>
              <w:pStyle w:val="ListParagraph"/>
              <w:widowControl w:val="false"/>
              <w:numPr>
                <w:ilvl w:val="0"/>
                <w:numId w:val="0"/>
              </w:numPr>
              <w:shd w:val="clear" w:color="auto" w:fill="FFFFFF"/>
              <w:spacing w:lineRule="auto" w:line="240" w:before="0" w:after="0"/>
              <w:ind w:left="720" w:hanging="0"/>
              <w:contextualSpacing/>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1) </w:t>
            </w:r>
            <w:r>
              <w:rPr>
                <w:rFonts w:eastAsia="Times New Roman" w:cs="Times New Roman" w:ascii="Times New Roman" w:hAnsi="Times New Roman"/>
                <w:color w:val="000000"/>
                <w:lang w:eastAsia="pl-PL"/>
              </w:rPr>
              <w:t xml:space="preserve">wskazanie miejsca prowadzenia badań archeologicznych z określeniem współrzędnych geodezyjnych lub geograficznych z dokładnością do jednej setnej sekundy, </w:t>
            </w:r>
          </w:p>
          <w:p>
            <w:pPr>
              <w:pStyle w:val="ListParagraph"/>
              <w:widowControl w:val="false"/>
              <w:numPr>
                <w:ilvl w:val="0"/>
                <w:numId w:val="0"/>
              </w:numPr>
              <w:shd w:val="clear" w:color="auto" w:fill="FFFFFF"/>
              <w:spacing w:lineRule="auto" w:line="240" w:before="0" w:after="0"/>
              <w:ind w:left="720" w:hanging="0"/>
              <w:contextualSpacing/>
              <w:rPr/>
            </w:pPr>
            <w:r>
              <w:rPr>
                <w:rFonts w:eastAsia="Times New Roman" w:cs="Times New Roman" w:ascii="Times New Roman" w:hAnsi="Times New Roman"/>
                <w:color w:val="000000"/>
                <w:lang w:eastAsia="pl-PL"/>
              </w:rPr>
            </w:r>
          </w:p>
          <w:p>
            <w:pPr>
              <w:pStyle w:val="Normal"/>
              <w:spacing w:lineRule="auto" w:line="360" w:before="0" w:after="0"/>
              <w:jc w:val="both"/>
              <w:rPr/>
            </w:pPr>
            <w:r>
              <w:rPr>
                <w:rFonts w:cs="Times New Roman" w:ascii="Times New Roman" w:hAnsi="Times New Roman"/>
              </w:rPr>
              <w:t>...................................................................................................................................................................................................................................................................................................................................</w:t>
            </w:r>
          </w:p>
          <w:p>
            <w:pPr>
              <w:pStyle w:val="Normal"/>
              <w:widowControl w:val="false"/>
              <w:shd w:val="clear" w:color="auto" w:fill="FFFFFF"/>
              <w:spacing w:lineRule="auto" w:line="360" w:before="0" w:after="0"/>
              <w:jc w:val="both"/>
              <w:rPr>
                <w:rFonts w:ascii="Times New Roman" w:hAnsi="Times New Roman" w:cs="Times New Roman"/>
              </w:rPr>
            </w:pPr>
            <w:r>
              <w:rPr>
                <w:rFonts w:cs="Times New Roman" w:ascii="Times New Roman" w:hAnsi="Times New Roman"/>
              </w:rPr>
              <w:t>...............................................................................................................................................................</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W w:w="9560"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9560"/>
      </w:tblGrid>
      <w:tr>
        <w:trPr>
          <w:trHeight w:val="100" w:hRule="atLeast"/>
        </w:trPr>
        <w:tc>
          <w:tcPr>
            <w:tcW w:w="9560" w:type="dxa"/>
            <w:tcBorders>
              <w:top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r>
          </w:p>
          <w:p>
            <w:pPr>
              <w:pStyle w:val="Normal"/>
              <w:widowControl w:val="false"/>
              <w:shd w:val="clear" w:color="auto" w:fill="FFFFFF"/>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2) wskazanie numeru księgi wieczystej nieruchomości objętej wnioskiem, o ile jest założona;</w:t>
            </w:r>
          </w:p>
          <w:p>
            <w:pPr>
              <w:pStyle w:val="Normal"/>
              <w:widowControl w:val="false"/>
              <w:shd w:val="clear" w:color="auto" w:fill="FFFFFF"/>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widowControl w:val="false"/>
              <w:shd w:val="clear" w:color="auto" w:fill="FFFFFF"/>
              <w:spacing w:lineRule="auto" w:line="240" w:before="0" w:after="0"/>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w:t>
            </w:r>
            <w:r>
              <w:rPr>
                <w:rFonts w:eastAsia="Times New Roman" w:cs="Times New Roman" w:ascii="Times New Roman" w:hAnsi="Times New Roman"/>
                <w:color w:val="000000"/>
                <w:lang w:eastAsia="pl-PL"/>
              </w:rPr>
              <w:t>..</w:t>
            </w:r>
          </w:p>
          <w:p>
            <w:pPr>
              <w:pStyle w:val="Normal"/>
              <w:widowControl w:val="false"/>
              <w:shd w:val="clear" w:color="auto" w:fill="FFFFFF"/>
              <w:spacing w:lineRule="auto" w:line="240" w:before="0" w:after="0"/>
              <w:rPr>
                <w:rFonts w:ascii="Times New Roman" w:hAnsi="Times New Roman" w:eastAsia="Times New Roman" w:cs="Times New Roman"/>
                <w:color w:val="333333"/>
                <w:lang w:eastAsia="pl-PL"/>
              </w:rPr>
            </w:pPr>
            <w:r>
              <w:rPr>
                <w:rFonts w:cs="Times New Roman" w:ascii="Times New Roman" w:hAnsi="Times New Roman"/>
                <w:sz w:val="24"/>
                <w:szCs w:val="24"/>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vertAlign w:val="superscript"/>
        </w:rPr>
        <w:t>1</w:t>
      </w:r>
      <w:r>
        <w:rPr>
          <w:rFonts w:cs="Times New Roman" w:ascii="Times New Roman" w:hAnsi="Times New Roman"/>
          <w:sz w:val="24"/>
          <w:szCs w:val="24"/>
        </w:rPr>
        <w:t xml:space="preserve"> Dotyczy stanowisk zlokalizowanych w obrębie Lasów Państwowych.</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vertAlign w:val="superscript"/>
        </w:rPr>
        <w:t>2</w:t>
      </w:r>
      <w:r>
        <w:rPr>
          <w:rFonts w:cs="Times New Roman" w:ascii="Times New Roman" w:hAnsi="Times New Roman"/>
          <w:sz w:val="24"/>
          <w:szCs w:val="24"/>
        </w:rPr>
        <w:t xml:space="preserve"> Dotyczy stanowisk miejskich.</w:t>
      </w:r>
    </w:p>
    <w:tbl>
      <w:tblPr>
        <w:tblW w:w="9180" w:type="dxa"/>
        <w:jc w:val="left"/>
        <w:tblInd w:w="250" w:type="dxa"/>
        <w:tblLayout w:type="fixed"/>
        <w:tblCellMar>
          <w:top w:w="0" w:type="dxa"/>
          <w:left w:w="70" w:type="dxa"/>
          <w:bottom w:w="0" w:type="dxa"/>
          <w:right w:w="70" w:type="dxa"/>
        </w:tblCellMar>
        <w:tblLook w:firstRow="1" w:noVBand="1" w:lastRow="0" w:firstColumn="1" w:lastColumn="0" w:noHBand="0" w:val="04a0"/>
      </w:tblPr>
      <w:tblGrid>
        <w:gridCol w:w="9180"/>
      </w:tblGrid>
      <w:tr>
        <w:trPr>
          <w:trHeight w:val="100" w:hRule="atLeast"/>
        </w:trPr>
        <w:tc>
          <w:tcPr>
            <w:tcW w:w="9180" w:type="dxa"/>
            <w:tcBorders>
              <w:top w:val="single" w:sz="4" w:space="0" w:color="000000"/>
              <w:bottom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cs="Times New Roman"/>
                <w:b/>
                <w:b/>
                <w:sz w:val="24"/>
                <w:szCs w:val="24"/>
              </w:rPr>
            </w:pPr>
            <w:r>
              <w:rPr>
                <w:rFonts w:cs="Times New Roman" w:ascii="Times New Roman" w:hAnsi="Times New Roman"/>
                <w:b/>
                <w:sz w:val="24"/>
                <w:szCs w:val="24"/>
              </w:rPr>
              <w:t>Przewidywany termin rozpoczęcia i zakończenia badań archeologicznych*:</w:t>
            </w:r>
          </w:p>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t xml:space="preserve">. . . . . . . . . . . . . . . . . . . . . . . . . . . . . . . . . . . . . . . . . . . . . . . . . . . . . . . . . . . . . . . . . . . . . . . . . . . </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Uzasadnienie wniosku:</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 . . . . . . . . . . . . . . . . . . . . . . . . . . . . . . . . . . . . . . . . . . . . . . . . . . . . . . . . . . . . . . . . . . . . . . . . . . </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tbl>
      <w:tblPr>
        <w:tblW w:w="9360" w:type="dxa"/>
        <w:jc w:val="left"/>
        <w:tblInd w:w="250" w:type="dxa"/>
        <w:tblLayout w:type="fixed"/>
        <w:tblCellMar>
          <w:top w:w="0" w:type="dxa"/>
          <w:left w:w="70" w:type="dxa"/>
          <w:bottom w:w="0" w:type="dxa"/>
          <w:right w:w="70" w:type="dxa"/>
        </w:tblCellMar>
        <w:tblLook w:firstRow="1" w:noVBand="1" w:lastRow="0" w:firstColumn="1" w:lastColumn="0" w:noHBand="0" w:val="04a0"/>
      </w:tblPr>
      <w:tblGrid>
        <w:gridCol w:w="9360"/>
      </w:tblGrid>
      <w:tr>
        <w:trPr>
          <w:trHeight w:val="100" w:hRule="atLeast"/>
        </w:trPr>
        <w:tc>
          <w:tcPr>
            <w:tcW w:w="9360" w:type="dxa"/>
            <w:tcBorders>
              <w:top w:val="single" w:sz="4" w:space="0" w:color="000000"/>
            </w:tcBorders>
          </w:tcPr>
          <w:p>
            <w:pPr>
              <w:pStyle w:val="Normal"/>
              <w:widowControl w:val="false"/>
              <w:jc w:val="both"/>
              <w:rPr>
                <w:rFonts w:ascii="Times New Roman" w:hAnsi="Times New Roman" w:cs="Times New Roman"/>
              </w:rPr>
            </w:pPr>
            <w:r>
              <w:rPr>
                <w:rFonts w:cs="Times New Roman" w:ascii="Times New Roman" w:hAnsi="Times New Roman"/>
              </w:rPr>
              <w:t>1/niepotrzebne skreślić</w:t>
            </w:r>
          </w:p>
          <w:p>
            <w:pPr>
              <w:pStyle w:val="Normal"/>
              <w:widowControl w:val="false"/>
              <w:jc w:val="both"/>
              <w:rPr>
                <w:rFonts w:ascii="Times New Roman" w:hAnsi="Times New Roman" w:cs="Times New Roman"/>
              </w:rPr>
            </w:pPr>
            <w:r>
              <w:rPr>
                <w:rFonts w:cs="Times New Roman" w:ascii="Times New Roman" w:hAnsi="Times New Roman"/>
              </w:rPr>
              <w:t>*Wniosek złożony min. 14 dni przed planowanym terminem rozpoczęcia badań/nadzorów.</w:t>
            </w:r>
          </w:p>
          <w:p>
            <w:pPr>
              <w:pStyle w:val="Normal"/>
              <w:widowControl w:val="false"/>
              <w:jc w:val="both"/>
              <w:rPr>
                <w:rFonts w:ascii="Times New Roman" w:hAnsi="Times New Roman" w:cs="Times New Roman"/>
              </w:rPr>
            </w:pPr>
            <w:r>
              <w:rPr>
                <w:rFonts w:cs="Times New Roman" w:ascii="Times New Roman" w:hAnsi="Times New Roman"/>
              </w:rPr>
              <w:t>* Kolejny wniosek kierownika badań archeologicznych po uprzednim odbiorze prowadzonych przez niego badań.</w:t>
            </w:r>
          </w:p>
          <w:p>
            <w:pPr>
              <w:pStyle w:val="Normal"/>
              <w:widowControl w:val="false"/>
              <w:spacing w:before="0" w:after="16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spacing w:lineRule="auto" w:line="240" w:before="0" w:after="150"/>
        <w:jc w:val="center"/>
        <w:rPr>
          <w:rFonts w:ascii="Times New Roman" w:hAnsi="Times New Roman" w:eastAsia="Times New Roman" w:cs="Times New Roman"/>
          <w:b/>
          <w:b/>
          <w:sz w:val="24"/>
          <w:szCs w:val="24"/>
          <w:lang w:eastAsia="pl-PL"/>
        </w:rPr>
      </w:pPr>
      <w:r>
        <w:rPr/>
      </w:r>
    </w:p>
    <w:p>
      <w:pPr>
        <w:pStyle w:val="Normal"/>
        <w:shd w:val="clear" w:color="auto" w:fill="FFFFFF"/>
        <w:spacing w:lineRule="auto" w:line="240" w:before="0" w:after="150"/>
        <w:jc w:val="center"/>
        <w:rPr>
          <w:rFonts w:ascii="Times New Roman" w:hAnsi="Times New Roman" w:eastAsia="Times New Roman" w:cs="Times New Roman"/>
          <w:b/>
          <w:b/>
          <w:sz w:val="24"/>
          <w:szCs w:val="24"/>
          <w:lang w:eastAsia="pl-PL"/>
        </w:rPr>
      </w:pPr>
      <w:r>
        <w:rPr/>
      </w:r>
    </w:p>
    <w:p>
      <w:pPr>
        <w:pStyle w:val="Normal"/>
        <w:shd w:val="clear" w:color="auto" w:fill="FFFFFF"/>
        <w:spacing w:lineRule="auto" w:line="240" w:before="0" w:after="15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Klauzula informacyjna</w:t>
      </w:r>
    </w:p>
    <w:p>
      <w:pPr>
        <w:pStyle w:val="Normal"/>
        <w:shd w:val="clear" w:color="auto" w:fill="FFFFFF"/>
        <w:spacing w:lineRule="auto" w:line="240" w:before="0" w:after="15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15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związku z pozyskiwaniem danych osobowych informujemy, zgodnie z zapisami ogólnego rozporządzenia o ochronie danych osobowych z dnia 27 kwietnia 2016 r. (dalej: RODO), że:</w:t>
      </w:r>
    </w:p>
    <w:p>
      <w:pPr>
        <w:pStyle w:val="Normal"/>
        <w:numPr>
          <w:ilvl w:val="0"/>
          <w:numId w:val="5"/>
        </w:numPr>
        <w:shd w:val="clear" w:color="auto" w:fill="FFFFFF"/>
        <w:spacing w:lineRule="auto" w:line="240" w:beforeAutospacing="1"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Administratorem Pani/Pana danych osobowych jest Podkarpacki Wojewódzki Konserwator Zabytków, ul. Jagiellońska 29, 37-700 Przemyśl,</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osobowe przetwarzane będą w celu realizacji ustawowych zadań Podkarpackiego Wojewódzkiego Konserwatora Zabytków – na podstawie art. 6 ust. 1 lit. a i c oraz art. 9 ust. 2 lit. g RODO,</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osobowe będą przetwarzane przez okres niezbędny do realizacji celu przetwarzania wskazanego w pkt 2, w tym przechowywane do momentu wygaśnięcia obowiązku archiwizacji danych wynikającego z przepisów prawa,</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odbiorcami Pani/Pana danych osobowych będą wyłącznie podmioty uprawnione do uzyskania danych osobowych na podstawie przepisów prawa lub zawartych umów,</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podanie danych osobowych jest obowiązkowe i umożliwi realizację ustawowych zadań Podkarpackiego Wojewódzkiego Konserwatora Zabytków oraz załatwienie inicjowanych przez Panią/Pana spraw. W przypadku ich niepodania nie będzie możliwe załatwienie Pani/Pana spraw,</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przysługuje Pani/Panu prawo do:</w:t>
      </w:r>
    </w:p>
    <w:p>
      <w:pPr>
        <w:pStyle w:val="Normal"/>
        <w:numPr>
          <w:ilvl w:val="1"/>
          <w:numId w:val="2"/>
        </w:numPr>
        <w:shd w:val="clear" w:color="auto" w:fill="FFFFFF"/>
        <w:spacing w:lineRule="auto" w:line="240" w:before="0" w:after="0"/>
        <w:ind w:left="90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żądania dostępu do danych osobowych na podstawie art. 15 RODO,</w:t>
      </w:r>
    </w:p>
    <w:p>
      <w:pPr>
        <w:pStyle w:val="Normal"/>
        <w:numPr>
          <w:ilvl w:val="1"/>
          <w:numId w:val="2"/>
        </w:numPr>
        <w:shd w:val="clear" w:color="auto" w:fill="FFFFFF"/>
        <w:spacing w:lineRule="auto" w:line="240" w:before="0" w:after="0"/>
        <w:ind w:left="90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sprostowania swoich danych na podstawie art. 16 RODO,</w:t>
      </w:r>
    </w:p>
    <w:p>
      <w:pPr>
        <w:pStyle w:val="Normal"/>
        <w:numPr>
          <w:ilvl w:val="1"/>
          <w:numId w:val="2"/>
        </w:numPr>
        <w:shd w:val="clear" w:color="auto" w:fill="FFFFFF"/>
        <w:spacing w:lineRule="auto" w:line="240" w:before="0" w:after="0"/>
        <w:ind w:left="90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ograniczenia przetwarzania danych na podstawie art. 18 RODO oraz ich usunięcia po ustaniu okresu przechowywania, w myśl obowiązujących przepisów,</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przysługuje Pani/Panu prawo do cofnięcia zgody, na podstawie której przetwarzane są Pani/Pana dane osobowe (jeśli przetwarzanie odbywa się na podstawie Pani/Pana zgody),</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przysługuje Pani/Panu prawo do wniesienia sprzeciwu wobec przetwarzania danych osobowych, jednak pozytywne rozpatrzenie Pani/Pana sprzeciwu wobec przetwarzania danych musi być zgodne z przepisami prawa, na podstawie których odbywa się przetwarzanie,</w:t>
      </w:r>
    </w:p>
    <w:p>
      <w:pPr>
        <w:pStyle w:val="Normal"/>
        <w:numPr>
          <w:ilvl w:val="0"/>
          <w:numId w:val="2"/>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przysługuje Pani/Panu prawo do przenoszenia swoich danych, jednak pozytywne rozpatrzenie Pani/Pana prawa do przeniesienia Pani/Pana danych musi być zgodne </w:t>
        <w:br/>
        <w:t>z przepisami prawa, na podstawie których odbywa się przetwarzanie,</w:t>
      </w:r>
    </w:p>
    <w:p>
      <w:pPr>
        <w:pStyle w:val="Normal"/>
        <w:numPr>
          <w:ilvl w:val="0"/>
          <w:numId w:val="2"/>
        </w:numPr>
        <w:shd w:val="clear" w:color="auto" w:fill="FFFFFF"/>
        <w:spacing w:lineRule="auto" w:line="240" w:before="0" w:after="0"/>
        <w:ind w:left="450"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Pani/Pana dane nie będą poddane zautomatyzowanym procesom związanym </w:t>
        <w:br/>
        <w:t>z podejmowaniem decyzji, w tym profilowaniu,</w:t>
      </w:r>
    </w:p>
    <w:p>
      <w:pPr>
        <w:pStyle w:val="Normal"/>
        <w:numPr>
          <w:ilvl w:val="0"/>
          <w:numId w:val="2"/>
        </w:numPr>
        <w:shd w:val="clear" w:color="auto" w:fill="FFFFFF"/>
        <w:spacing w:lineRule="auto" w:line="240" w:before="0" w:afterAutospacing="1"/>
        <w:ind w:left="450"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Pani/Pana dane nie będą przekazane odbiorcom w państwach znajdujących się poza Unią Europejską i Europejskim Obszarem Gospodarczym lub do organizacji międzynarodowej bez postawy prawnej.</w:t>
      </w:r>
    </w:p>
    <w:p>
      <w:pPr>
        <w:pStyle w:val="Normal"/>
        <w:shd w:val="clear" w:color="auto" w:fill="FFFFFF"/>
        <w:spacing w:lineRule="auto" w:line="240" w:beforeAutospacing="1" w:afterAutospacing="1"/>
        <w:ind w:left="45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FFFFF"/>
        <w:spacing w:lineRule="auto" w:line="240" w:before="0" w:after="15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t>W przypadku jakichkolwiek wątpliwości czy pytań w zakresie przetwarzania Pani/Pana danych osobowych oraz  korzystania z praw związanych z przetwarzaniem  danych osobowych może się Pani/Pan kontaktować się z Inspektorem Ochrony Danych w Wojewódzkim Urzędzie Ochrony Zabytków z/s w Przemyślu:</w:t>
      </w:r>
    </w:p>
    <w:p>
      <w:pPr>
        <w:pStyle w:val="Normal"/>
        <w:numPr>
          <w:ilvl w:val="0"/>
          <w:numId w:val="6"/>
        </w:numPr>
        <w:shd w:val="clear" w:color="auto" w:fill="FFFFFF"/>
        <w:spacing w:lineRule="auto" w:line="240" w:beforeAutospacing="1"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listownie na adres: Wojewódzki Urząd Ochrony Zabytków z/s w Przemyślu, </w:t>
        <w:br/>
        <w:t>ul. Jagiellońska 29, 37-700 Przemyśl</w:t>
      </w:r>
    </w:p>
    <w:p>
      <w:pPr>
        <w:pStyle w:val="Normal"/>
        <w:numPr>
          <w:ilvl w:val="0"/>
          <w:numId w:val="3"/>
        </w:numPr>
        <w:shd w:val="clear" w:color="auto" w:fill="FFFFFF"/>
        <w:spacing w:lineRule="auto" w:line="240" w:before="0" w:after="0"/>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telefonicznie 16 678 59 44, wew. 39, 16 </w:t>
      </w:r>
      <w:r>
        <w:rPr>
          <w:rFonts w:cs="Times New Roman" w:ascii="Times New Roman" w:hAnsi="Times New Roman"/>
          <w:sz w:val="24"/>
          <w:szCs w:val="24"/>
        </w:rPr>
        <w:t>678 61 78</w:t>
      </w:r>
      <w:r>
        <w:rPr>
          <w:rFonts w:eastAsia="Times New Roman" w:cs="Times New Roman" w:ascii="Times New Roman" w:hAnsi="Times New Roman"/>
          <w:sz w:val="24"/>
          <w:szCs w:val="24"/>
          <w:lang w:eastAsia="pl-PL"/>
        </w:rPr>
        <w:t>, wew. 39</w:t>
      </w:r>
    </w:p>
    <w:p>
      <w:pPr>
        <w:pStyle w:val="Normal"/>
        <w:numPr>
          <w:ilvl w:val="0"/>
          <w:numId w:val="3"/>
        </w:numPr>
        <w:shd w:val="clear" w:color="auto" w:fill="FFFFFF"/>
        <w:spacing w:lineRule="auto" w:line="240" w:before="0" w:afterAutospacing="1"/>
        <w:ind w:left="45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e-mailowo: rodo@wuozprzemysl.pl</w:t>
      </w:r>
    </w:p>
    <w:p>
      <w:pPr>
        <w:pStyle w:val="Normal"/>
        <w:shd w:val="clear" w:color="auto" w:fill="FFFFFF"/>
        <w:spacing w:lineRule="auto" w:line="240" w:before="0" w:after="15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Możliwy jest również kontakt osobisty w siedzibie Urzędu przy ul. Jagiellońskiej 29 </w:t>
        <w:br/>
        <w:t>w Przemyślu.</w:t>
      </w:r>
    </w:p>
    <w:p>
      <w:pPr>
        <w:pStyle w:val="Normal"/>
        <w:shd w:val="clear" w:color="auto" w:fill="FFFFFF"/>
        <w:spacing w:lineRule="auto" w:line="240" w:before="0" w:after="15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Jeśli uzna Pani/Pan, że dane osobowe nie są przetwarzane w sposób prawidłowy przysługuje Pani/Pan prawo wniesienia skargi do organu nadzorczego – Urzędu Ochrony Danych Osobowych.</w:t>
      </w:r>
    </w:p>
    <w:p>
      <w:pPr>
        <w:pStyle w:val="Normal"/>
        <w:ind w:left="4956"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956" w:hanging="0"/>
        <w:jc w:val="both"/>
        <w:rPr>
          <w:rFonts w:ascii="Times New Roman" w:hAnsi="Times New Roman" w:cs="Times New Roman"/>
          <w:b/>
          <w:b/>
          <w:sz w:val="24"/>
          <w:szCs w:val="24"/>
        </w:rPr>
      </w:pPr>
      <w:r>
        <w:rPr>
          <w:rFonts w:cs="Times New Roman" w:ascii="Times New Roman" w:hAnsi="Times New Roman"/>
          <w:b/>
          <w:sz w:val="24"/>
          <w:szCs w:val="24"/>
        </w:rPr>
        <w:t>. . . . . . . . . . . . . . . . . . . . . . . . . . . . . . . . .</w:t>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t>Podpis wnioskodawcy</w:t>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4956" w:firstLine="708"/>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rPr>
      </w:pPr>
      <w:r>
        <w:rPr>
          <w:rFonts w:cs="Times New Roman" w:ascii="Times New Roman" w:hAnsi="Times New Roman"/>
          <w:b/>
          <w:sz w:val="24"/>
          <w:szCs w:val="24"/>
        </w:rPr>
        <w:t>WYKAZ ZAŁĄCZNIKÓW</w:t>
      </w:r>
      <w:r>
        <w:rPr>
          <w:rFonts w:cs="Times New Roman" w:ascii="Times New Roman" w:hAnsi="Times New Roman"/>
          <w:sz w:val="24"/>
          <w:szCs w:val="24"/>
        </w:rPr>
        <w:t xml:space="preserve"> do wniosku:</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1)program prowadzenia badań archeologicznych;</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2)dokument potwierdzający posiadanie przez wnioskodawcę tytułu prawnego do korzystania z nieruchomości, uprawniającego do występowania z tym wnioskiem, a w przypadku gdy z wnioskiem występuje podmiot zamierzający prowadzić te badania, zgodę właściciela lub posiadacza nieruchomości na ich prowadzenie albo oświadczenie, że właściciel lub posiadacz tej zgody nie udzielił;</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3)zgodę dyrektora parku narodowego albo regionalnego dyrektora ochrony środowiska, w przypadku prowadzenia badań archeologicznych odpowiednio na terenie parku narodowego albo rezerwatu przyrody;</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 xml:space="preserve">4)mapę topograficzną w skali 1:10 000 lub większej lub prezentację kartograficzną bazy danych obiektów topograficznych (BDOT10k), o której mowa w </w:t>
      </w:r>
      <w:r>
        <w:fldChar w:fldCharType="begin"/>
      </w:r>
      <w:r>
        <w:rPr>
          <w:rStyle w:val="Czeinternetowe"/>
          <w:rFonts w:eastAsia="Times New Roman" w:cs="Times New Roman" w:ascii="Times New Roman" w:hAnsi="Times New Roman"/>
          <w:color w:val="000000"/>
          <w:lang w:eastAsia="pl-PL"/>
        </w:rPr>
        <w:instrText> HYPERLINK "https://sip.lex.pl/" \l "/document/16793127?unitId=art(4)ust(1(a))pkt(8)&amp;cm=DOCUMENT"</w:instrText>
      </w:r>
      <w:r>
        <w:rPr>
          <w:rStyle w:val="Czeinternetowe"/>
          <w:rFonts w:eastAsia="Times New Roman" w:cs="Times New Roman" w:ascii="Times New Roman" w:hAnsi="Times New Roman"/>
          <w:color w:val="000000"/>
          <w:lang w:eastAsia="pl-PL"/>
        </w:rPr>
        <w:fldChar w:fldCharType="separate"/>
      </w:r>
      <w:r>
        <w:rPr>
          <w:rStyle w:val="Czeinternetowe"/>
          <w:rFonts w:eastAsia="Times New Roman" w:cs="Times New Roman" w:ascii="Times New Roman" w:hAnsi="Times New Roman"/>
          <w:color w:val="000000" w:themeColor="text1"/>
          <w:lang w:eastAsia="pl-PL"/>
        </w:rPr>
        <w:t>art. 4 ust. 1a pkt 8</w:t>
      </w:r>
      <w:r>
        <w:rPr>
          <w:rStyle w:val="Czeinternetowe"/>
          <w:rFonts w:eastAsia="Times New Roman" w:cs="Times New Roman" w:ascii="Times New Roman" w:hAnsi="Times New Roman"/>
          <w:color w:val="000000"/>
          <w:lang w:eastAsia="pl-PL"/>
        </w:rPr>
        <w:fldChar w:fldCharType="end"/>
      </w:r>
      <w:r>
        <w:rPr>
          <w:rFonts w:eastAsia="Times New Roman" w:cs="Times New Roman" w:ascii="Times New Roman" w:hAnsi="Times New Roman"/>
          <w:color w:val="000000" w:themeColor="text1"/>
          <w:lang w:eastAsia="pl-PL"/>
        </w:rPr>
        <w:t xml:space="preserve"> ustawy z dnia 17 maja 1989 r. - Prawo geodezyjne i kartograficzne (Dz. U. z 2017 r. poz. 2101 oraz z 2018 r. poz. 650), umożliwiające lokalizację nieruchomego zabytku archeologicznego;</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5)plan z naniesionymi miejscami dotychczasowych i planowanych badań archeologicznych w nawiązaniu do punktów osnowy geodezyjnej poziomej i wysokościowej w skali:</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a)1:500, jeżeli badania archeologiczne będą prowadzone na terenie o powierzchni do 10 000 m</w:t>
      </w:r>
      <w:r>
        <w:rPr>
          <w:rFonts w:eastAsia="Times New Roman" w:cs="Times New Roman" w:ascii="Times New Roman" w:hAnsi="Times New Roman"/>
          <w:color w:val="000000" w:themeColor="text1"/>
          <w:vertAlign w:val="superscript"/>
          <w:lang w:eastAsia="pl-PL"/>
        </w:rPr>
        <w:t>2</w:t>
      </w:r>
      <w:r>
        <w:rPr>
          <w:rFonts w:eastAsia="Times New Roman" w:cs="Times New Roman" w:ascii="Times New Roman" w:hAnsi="Times New Roman"/>
          <w:color w:val="000000" w:themeColor="text1"/>
          <w:lang w:eastAsia="pl-PL"/>
        </w:rPr>
        <w:t>, albo</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b)1:1000, jeżeli badania archeologiczne będą prowadzone na terenie o powierzchni większej niż 10 000 m</w:t>
      </w:r>
      <w:r>
        <w:rPr>
          <w:rFonts w:eastAsia="Times New Roman" w:cs="Times New Roman" w:ascii="Times New Roman" w:hAnsi="Times New Roman"/>
          <w:color w:val="000000" w:themeColor="text1"/>
          <w:vertAlign w:val="superscript"/>
          <w:lang w:eastAsia="pl-PL"/>
        </w:rPr>
        <w:t>2</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6)dokument potwierdzający gotowość muzeum lub innej jednostki organizacyjnej do przyjęcia zabytków archeologicznych odkrytych w trakcie prowadzenia badań archeologicznych;</w:t>
      </w:r>
    </w:p>
    <w:p>
      <w:pPr>
        <w:pStyle w:val="Normal"/>
        <w:shd w:val="clear" w:color="auto" w:fill="FFFFFF"/>
        <w:spacing w:lineRule="auto" w:line="240" w:before="0" w:after="0"/>
        <w:jc w:val="both"/>
        <w:rPr>
          <w:rFonts w:ascii="Times New Roman" w:hAnsi="Times New Roman" w:eastAsia="Times New Roman" w:cs="Times New Roman"/>
          <w:color w:val="000000" w:themeColor="text1"/>
          <w:lang w:eastAsia="pl-PL"/>
        </w:rPr>
      </w:pPr>
      <w:r>
        <w:rPr>
          <w:rFonts w:eastAsia="Times New Roman" w:cs="Times New Roman" w:ascii="Times New Roman" w:hAnsi="Times New Roman"/>
          <w:color w:val="000000" w:themeColor="text1"/>
          <w:lang w:eastAsia="pl-PL"/>
        </w:rPr>
        <w:t>7)opis sposobu uporządkowania terenu po zakończeniu badań archeologicznych,</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8) dokument poświadczający uiszczenie przez wnioskodawcę </w:t>
      </w:r>
      <w:r>
        <w:rPr>
          <w:rFonts w:cs="Times New Roman" w:ascii="Times New Roman" w:hAnsi="Times New Roman"/>
          <w:b/>
          <w:sz w:val="24"/>
          <w:szCs w:val="24"/>
        </w:rPr>
        <w:t>opłaty skarbowej</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POUCZENIE</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color w:val="333333"/>
          <w:shd w:fill="FFFFFF" w:val="clear"/>
          <w:lang w:eastAsia="pl-PL"/>
        </w:rPr>
        <w:t>Nie później niż w terminie 14 dni przed dniem rozpoczęcia badań archeologicznych, a w toku badań archeologicznych, na 14 dni przed dokonaniem zmiany osoby</w:t>
      </w:r>
      <w:r>
        <w:rPr>
          <w:rFonts w:cs="Times New Roman" w:ascii="Times New Roman" w:hAnsi="Times New Roman"/>
          <w:color w:val="333333"/>
          <w:shd w:fill="FFFFFF" w:val="clear"/>
        </w:rPr>
        <w:t xml:space="preserve"> kierującej badaniami archeologicznymi albo samodzielnie wykonującej te badania</w:t>
      </w:r>
      <w:r>
        <w:rPr>
          <w:rFonts w:eastAsia="Times New Roman" w:cs="Times New Roman" w:ascii="Times New Roman" w:hAnsi="Times New Roman"/>
          <w:color w:val="333333"/>
          <w:shd w:fill="FFFFFF" w:val="clear"/>
          <w:lang w:eastAsia="pl-PL"/>
        </w:rPr>
        <w:t xml:space="preserve"> należy przekazać wojewódzkiemu konserwatorowi zabytków poniższe dokumenty</w:t>
      </w:r>
    </w:p>
    <w:p>
      <w:pPr>
        <w:pStyle w:val="Normal"/>
        <w:shd w:val="clear" w:color="auto" w:fill="FFFFFF"/>
        <w:spacing w:lineRule="atLeast" w:line="250"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 xml:space="preserve">a)imię, nazwisko i adres osoby </w:t>
      </w:r>
      <w:r>
        <w:rPr>
          <w:rFonts w:cs="Times New Roman" w:ascii="Times New Roman" w:hAnsi="Times New Roman"/>
          <w:color w:val="333333"/>
          <w:shd w:fill="FFFFFF" w:val="clear"/>
        </w:rPr>
        <w:t>kierującej badaniami archeologicznymi albo samodzielnie wykonującej</w:t>
      </w:r>
      <w:r>
        <w:rPr>
          <w:rFonts w:eastAsia="Times New Roman" w:cs="Times New Roman" w:ascii="Times New Roman" w:hAnsi="Times New Roman"/>
          <w:color w:val="333333"/>
          <w:lang w:eastAsia="pl-PL"/>
        </w:rPr>
        <w:t xml:space="preserve"> te badania,</w:t>
      </w:r>
    </w:p>
    <w:p>
      <w:pPr>
        <w:pStyle w:val="Normal"/>
        <w:shd w:val="clear" w:color="auto" w:fill="FFFFFF"/>
        <w:spacing w:lineRule="atLeast" w:line="250"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b)dokumentów potwierdzających spełnianie przez tę osobę wymagań, o których mowa w art. 37e ust. 1 ustawy,</w:t>
      </w:r>
    </w:p>
    <w:p>
      <w:pPr>
        <w:pStyle w:val="Normal"/>
        <w:shd w:val="clear" w:color="auto" w:fill="FFFFFF"/>
        <w:spacing w:lineRule="atLeast" w:line="250"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c)oświadczenia osoby</w:t>
      </w:r>
      <w:r>
        <w:rPr>
          <w:rFonts w:cs="Times New Roman" w:ascii="Times New Roman" w:hAnsi="Times New Roman"/>
          <w:color w:val="333333"/>
          <w:shd w:fill="FFFFFF" w:val="clear"/>
        </w:rPr>
        <w:t xml:space="preserve"> kierującej badaniami archeologicznymi albo samodzielnie wykonującej te badania</w:t>
      </w:r>
      <w:r>
        <w:rPr>
          <w:rFonts w:eastAsia="Times New Roman" w:cs="Times New Roman" w:ascii="Times New Roman" w:hAnsi="Times New Roman"/>
          <w:color w:val="333333"/>
          <w:lang w:eastAsia="pl-PL"/>
        </w:rPr>
        <w:t xml:space="preserve"> o przyjęciu przez tę osobę obowiązku kierowania badaniami archeologicznymi albo samodzielnego wykonywania tych badań.</w:t>
      </w:r>
    </w:p>
    <w:p>
      <w:pPr>
        <w:pStyle w:val="Normal"/>
        <w:shd w:val="clear" w:color="auto" w:fill="FFFFFF"/>
        <w:spacing w:lineRule="atLeast" w:line="250" w:before="0" w:after="0"/>
        <w:jc w:val="both"/>
        <w:rPr>
          <w:rFonts w:ascii="Times New Roman" w:hAnsi="Times New Roman" w:eastAsia="Times New Roman" w:cs="Times New Roman"/>
          <w:b/>
          <w:b/>
          <w:color w:val="333333"/>
          <w:lang w:eastAsia="pl-PL"/>
        </w:rPr>
      </w:pPr>
      <w:r>
        <w:rPr>
          <w:rFonts w:eastAsia="Times New Roman" w:cs="Times New Roman" w:ascii="Times New Roman" w:hAnsi="Times New Roman"/>
          <w:b/>
          <w:color w:val="333333"/>
          <w:lang w:eastAsia="pl-PL"/>
        </w:rPr>
        <w:t xml:space="preserve">W przypadku gdy osoba </w:t>
      </w:r>
      <w:r>
        <w:rPr>
          <w:rFonts w:cs="Times New Roman" w:ascii="Times New Roman" w:hAnsi="Times New Roman"/>
          <w:b/>
          <w:color w:val="333333"/>
          <w:shd w:fill="FFFFFF" w:val="clear"/>
        </w:rPr>
        <w:t xml:space="preserve">kierująca badaniami archeologicznymi albo samodzielnie wykonująca te badania została wybrana na etapie składania wniosku można złożyć wyżej wymienione dokumenty wraz z wnioskiem.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b/>
          <w:bCs/>
          <w:color w:val="333333"/>
          <w:lang w:eastAsia="pl-PL"/>
        </w:rPr>
        <w:t>Art.  36a.  </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1. Osoba fizyczna lub jednostka organizacyjna występująca z wnioskiem o pozwolenie na prowadzenie prac konserwatorskich, prac restauratorskich lub badań konserwatorskich przy zabytku wpisanym na Listę Skarbów Dziedzictwa albo na prowadzenie prac konserwatorskich, prac restauratorskich, badań konserwatorskich lub badań architektonicznych przy zabytku wpisanym do rejestru albo badań archeologicznych jest obowiązana zapewnić kierowanie tymi pracami oraz badaniami albo samodzielne ich wykonywanie przez osoby spełniające odpowiednio wymagania, o których mowa w art. 37a ust. 1 i 2, art. 37b ust. 1 i 3, art. 37d ust. 1 albo art. 37e ust. 1.</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2. Osoba fizyczna lub jednostka organizacyjna występująca z wnioskiem o pozwolenie na prowadzenie robót budowlanych przy zabytku nieruchomym wpisanym do rejestru jest obowiązana zapewnić kierowanie tymi robotami oraz wykonywanie nadzoru inwestorskiego przez osoby spełniające wymagania, o których mowa w art. 37c.</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b/>
          <w:bCs/>
          <w:color w:val="333333"/>
          <w:lang w:eastAsia="pl-PL"/>
        </w:rPr>
        <w:t>Art.  37e.  </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1. Badaniami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2. Przepis ust. 1 stosuje się do osób, które samodzielnie wykonują badania archeologiczne.</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b/>
          <w:bCs/>
          <w:color w:val="333333"/>
          <w:lang w:eastAsia="pl-PL"/>
        </w:rPr>
        <w:t>Art.  37g.  </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1. Udział w pracach konserwatorskich, pracach restauratorskich lub badaniach konserwatorskich, prowadzonych przy zabytkach wpisanych na Listę Skarbów Dziedzictwa, albo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mowa w art. 14a ust. 2,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2. 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b/>
          <w:bCs/>
          <w:color w:val="333333"/>
          <w:lang w:eastAsia="pl-PL"/>
        </w:rPr>
        <w:t>rt.  37h.  </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1. Wykształcenie i tytuły zawodowe, o których mowa w art. 37a, art. 37b, art. 37d i art. 37e, mogą być uzyskane poza terytorium Rzeczypospolitej Polskiej, jeżeli są one uznawane za równorzędne z wykształceniem i tytułami zawodowymi uzyskanymi na terytorium Rzeczypospolitej Polskiej na podstawie odrębnych przepisów.</w:t>
      </w:r>
    </w:p>
    <w:p>
      <w:pPr>
        <w:pStyle w:val="Normal"/>
        <w:shd w:val="clear" w:color="auto" w:fill="FFFFFF"/>
        <w:spacing w:lineRule="atLeast" w:line="227" w:before="0" w:after="0"/>
        <w:jc w:val="both"/>
        <w:rPr>
          <w:rFonts w:ascii="Times New Roman" w:hAnsi="Times New Roman" w:eastAsia="Times New Roman" w:cs="Times New Roman"/>
          <w:color w:val="333333"/>
          <w:lang w:eastAsia="pl-PL"/>
        </w:rPr>
      </w:pPr>
      <w:r>
        <w:rPr>
          <w:rFonts w:eastAsia="Times New Roman" w:cs="Times New Roman" w:ascii="Times New Roman" w:hAnsi="Times New Roman"/>
          <w:color w:val="333333"/>
          <w:lang w:eastAsia="pl-PL"/>
        </w:rPr>
        <w:t>2. Doświadczenie zawodowe, o którym mowa w art. 37a, art. 37b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14a ust. 2.</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widowControl/>
        <w:bidi w:val="0"/>
        <w:spacing w:lineRule="auto" w:line="252"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 w:numId="6">
    <w:abstractNumId w:val="3"/>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7c1a"/>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067c1a"/>
    <w:pPr>
      <w:keepNext w:val="true"/>
      <w:spacing w:lineRule="auto" w:line="240" w:before="0" w:after="0"/>
      <w:jc w:val="right"/>
      <w:outlineLvl w:val="0"/>
    </w:pPr>
    <w:rPr>
      <w:rFonts w:ascii="Times New Roman" w:hAnsi="Times New Roman" w:eastAsia="Times New Roman" w:cs="Times New Roman"/>
      <w:b/>
      <w:bCs/>
      <w:szCs w:val="20"/>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067c1a"/>
    <w:rPr>
      <w:rFonts w:ascii="Times New Roman" w:hAnsi="Times New Roman" w:eastAsia="Times New Roman" w:cs="Times New Roman"/>
      <w:b/>
      <w:bCs/>
      <w:szCs w:val="20"/>
      <w:lang w:eastAsia="pl-PL"/>
    </w:rPr>
  </w:style>
  <w:style w:type="character" w:styleId="Czeinternetowe">
    <w:name w:val="Łącze internetowe"/>
    <w:basedOn w:val="DefaultParagraphFont"/>
    <w:uiPriority w:val="99"/>
    <w:semiHidden/>
    <w:unhideWhenUsed/>
    <w:rsid w:val="00067c1a"/>
    <w:rPr>
      <w:color w:val="0000FF"/>
      <w:u w:val="single"/>
    </w:rPr>
  </w:style>
  <w:style w:type="character" w:styleId="TekstdymkaZnak" w:customStyle="1">
    <w:name w:val="Tekst dymka Znak"/>
    <w:basedOn w:val="DefaultParagraphFont"/>
    <w:link w:val="Tekstdymka"/>
    <w:uiPriority w:val="99"/>
    <w:semiHidden/>
    <w:qFormat/>
    <w:rsid w:val="0017479c"/>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067c1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067c1a"/>
    <w:pPr>
      <w:spacing w:before="0" w:after="160"/>
      <w:ind w:left="720" w:hanging="0"/>
      <w:contextualSpacing/>
    </w:pPr>
    <w:rPr/>
  </w:style>
  <w:style w:type="paragraph" w:styleId="BalloonText">
    <w:name w:val="Balloon Text"/>
    <w:basedOn w:val="Normal"/>
    <w:link w:val="TekstdymkaZnak"/>
    <w:uiPriority w:val="99"/>
    <w:semiHidden/>
    <w:unhideWhenUsed/>
    <w:qFormat/>
    <w:rsid w:val="0017479c"/>
    <w:pPr>
      <w:spacing w:lineRule="auto" w:line="240" w:before="0" w:after="0"/>
    </w:pPr>
    <w:rPr>
      <w:rFonts w:ascii="Segoe UI" w:hAnsi="Segoe UI" w:cs="Segoe UI"/>
      <w:sz w:val="18"/>
      <w:szCs w:val="18"/>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LibreOffice/7.0.4.2$Windows_X86_64 LibreOffice_project/dcf040e67528d9187c66b2379df5ea4407429775</Application>
  <AppVersion>15.0000</AppVersion>
  <Pages>6</Pages>
  <Words>2483</Words>
  <Characters>11480</Characters>
  <CharactersWithSpaces>13927</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2018-10-02T12:42:00Z</dcterms:created>
  <dc:creator>user</dc:creator>
  <dc:description/>
  <dc:language>pl-PL</dc:language>
  <cp:lastModifiedBy/>
  <cp:lastPrinted>2018-10-03T07:58:00Z</cp:lastPrinted>
  <dcterms:modified xsi:type="dcterms:W3CDTF">2023-02-16T17:40:14Z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